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F7" w:rsidRPr="00B85E15" w:rsidRDefault="00F805F7">
      <w:pPr>
        <w:rPr>
          <w:sz w:val="24"/>
          <w:szCs w:val="24"/>
        </w:rPr>
      </w:pPr>
    </w:p>
    <w:p w:rsidR="00B85E15" w:rsidRDefault="006A7AA0" w:rsidP="00993C88">
      <w:pPr>
        <w:jc w:val="both"/>
        <w:rPr>
          <w:sz w:val="24"/>
          <w:szCs w:val="24"/>
        </w:rPr>
      </w:pPr>
      <w:r w:rsidRPr="00B85E15">
        <w:rPr>
          <w:sz w:val="24"/>
          <w:szCs w:val="24"/>
        </w:rPr>
        <w:t>This document sets out how we will comply with our Priority Services obligations</w:t>
      </w:r>
      <w:r w:rsidR="00B85E15" w:rsidRPr="00B85E15">
        <w:rPr>
          <w:sz w:val="24"/>
          <w:szCs w:val="24"/>
        </w:rPr>
        <w:t xml:space="preserve"> and our obligations under the </w:t>
      </w:r>
      <w:r w:rsidR="00B85E15" w:rsidRPr="00B85E15">
        <w:rPr>
          <w:rFonts w:cs="Arial"/>
          <w:sz w:val="24"/>
          <w:szCs w:val="24"/>
        </w:rPr>
        <w:t>Security Emergencies Measures Direction, in liaison with partners under the Civil Contingencies Act</w:t>
      </w:r>
      <w:r w:rsidR="00B85E15">
        <w:rPr>
          <w:rFonts w:cs="Arial"/>
          <w:sz w:val="24"/>
          <w:szCs w:val="24"/>
        </w:rPr>
        <w:t>.</w:t>
      </w:r>
      <w:r w:rsidR="00B85E15" w:rsidRPr="00B85E15">
        <w:rPr>
          <w:sz w:val="24"/>
          <w:szCs w:val="24"/>
        </w:rPr>
        <w:t xml:space="preserve"> </w:t>
      </w:r>
    </w:p>
    <w:p w:rsidR="00B85E15" w:rsidRDefault="00993C88" w:rsidP="00993C88">
      <w:pPr>
        <w:jc w:val="both"/>
        <w:rPr>
          <w:sz w:val="24"/>
          <w:szCs w:val="24"/>
        </w:rPr>
      </w:pPr>
      <w:r w:rsidRPr="00B85E15">
        <w:rPr>
          <w:sz w:val="24"/>
          <w:szCs w:val="24"/>
        </w:rPr>
        <w:t xml:space="preserve">In the event of a significant </w:t>
      </w:r>
      <w:r w:rsidR="00B85E15">
        <w:rPr>
          <w:sz w:val="24"/>
          <w:szCs w:val="24"/>
        </w:rPr>
        <w:t xml:space="preserve">Type 1 or 2 </w:t>
      </w:r>
      <w:r w:rsidRPr="00B85E15">
        <w:rPr>
          <w:sz w:val="24"/>
          <w:szCs w:val="24"/>
        </w:rPr>
        <w:t xml:space="preserve">incident (loss of supply, contamination, taste and odour and discolouration) this </w:t>
      </w:r>
      <w:r w:rsidR="00B85E15">
        <w:rPr>
          <w:sz w:val="24"/>
          <w:szCs w:val="24"/>
        </w:rPr>
        <w:t>policy</w:t>
      </w:r>
      <w:r w:rsidRPr="00B85E15">
        <w:rPr>
          <w:sz w:val="24"/>
          <w:szCs w:val="24"/>
        </w:rPr>
        <w:t xml:space="preserve"> needs to be shared with the Incident Team</w:t>
      </w:r>
      <w:r w:rsidR="00CB30EE">
        <w:rPr>
          <w:sz w:val="24"/>
          <w:szCs w:val="24"/>
        </w:rPr>
        <w:t xml:space="preserve"> and any amendments agreed.</w:t>
      </w:r>
    </w:p>
    <w:p w:rsidR="00993C88" w:rsidRDefault="00B85E15" w:rsidP="00993C8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93C88" w:rsidRPr="00B85E15">
        <w:rPr>
          <w:sz w:val="24"/>
          <w:szCs w:val="24"/>
        </w:rPr>
        <w:t xml:space="preserve">n the event of a large scale incident with </w:t>
      </w:r>
      <w:r w:rsidR="00CB30EE">
        <w:rPr>
          <w:sz w:val="24"/>
          <w:szCs w:val="24"/>
        </w:rPr>
        <w:t>a multiagency command str</w:t>
      </w:r>
      <w:r>
        <w:rPr>
          <w:sz w:val="24"/>
          <w:szCs w:val="24"/>
        </w:rPr>
        <w:t>u</w:t>
      </w:r>
      <w:r w:rsidR="00CB30EE">
        <w:rPr>
          <w:sz w:val="24"/>
          <w:szCs w:val="24"/>
        </w:rPr>
        <w:t>c</w:t>
      </w:r>
      <w:r>
        <w:rPr>
          <w:sz w:val="24"/>
          <w:szCs w:val="24"/>
        </w:rPr>
        <w:t xml:space="preserve">ture in place (Type 3 or 4 incident) </w:t>
      </w:r>
      <w:r w:rsidRPr="00B85E15">
        <w:rPr>
          <w:sz w:val="24"/>
          <w:szCs w:val="24"/>
        </w:rPr>
        <w:t xml:space="preserve">this </w:t>
      </w:r>
      <w:r>
        <w:rPr>
          <w:sz w:val="24"/>
          <w:szCs w:val="24"/>
        </w:rPr>
        <w:t>policy</w:t>
      </w:r>
      <w:r w:rsidRPr="00B85E15">
        <w:rPr>
          <w:sz w:val="24"/>
          <w:szCs w:val="24"/>
        </w:rPr>
        <w:t xml:space="preserve"> needs to be shared and agreed with </w:t>
      </w:r>
      <w:r>
        <w:rPr>
          <w:sz w:val="24"/>
          <w:szCs w:val="24"/>
        </w:rPr>
        <w:t>the multiagency team</w:t>
      </w:r>
      <w:r w:rsidR="00993C88" w:rsidRPr="00B85E15">
        <w:rPr>
          <w:sz w:val="24"/>
          <w:szCs w:val="24"/>
        </w:rPr>
        <w:t xml:space="preserve"> within the first 12 hours of the incident</w:t>
      </w:r>
      <w:r>
        <w:rPr>
          <w:sz w:val="24"/>
          <w:szCs w:val="24"/>
        </w:rPr>
        <w:t xml:space="preserve"> and any modifications agreed</w:t>
      </w:r>
      <w:r w:rsidR="00993C88" w:rsidRPr="00B85E15">
        <w:rPr>
          <w:sz w:val="24"/>
          <w:szCs w:val="24"/>
        </w:rPr>
        <w:t xml:space="preserve">. The approach </w:t>
      </w:r>
      <w:r>
        <w:rPr>
          <w:sz w:val="24"/>
          <w:szCs w:val="24"/>
        </w:rPr>
        <w:t xml:space="preserve">to alternative water supplies </w:t>
      </w:r>
      <w:r w:rsidR="00993C88" w:rsidRPr="00B85E15">
        <w:rPr>
          <w:sz w:val="24"/>
          <w:szCs w:val="24"/>
        </w:rPr>
        <w:t xml:space="preserve">needs to be shared and </w:t>
      </w:r>
      <w:bookmarkStart w:id="0" w:name="_GoBack"/>
      <w:bookmarkEnd w:id="0"/>
      <w:r w:rsidR="00993C88" w:rsidRPr="00B85E15">
        <w:rPr>
          <w:sz w:val="24"/>
          <w:szCs w:val="24"/>
        </w:rPr>
        <w:t xml:space="preserve">continuously referenced and refined with the </w:t>
      </w:r>
      <w:r>
        <w:rPr>
          <w:sz w:val="24"/>
          <w:szCs w:val="24"/>
        </w:rPr>
        <w:t xml:space="preserve">multiagency </w:t>
      </w:r>
      <w:r w:rsidR="00993C88" w:rsidRPr="00B85E15">
        <w:rPr>
          <w:sz w:val="24"/>
          <w:szCs w:val="24"/>
        </w:rPr>
        <w:t xml:space="preserve">Vulnerable Persons Cell Chair as soon as they are appointed. </w:t>
      </w:r>
    </w:p>
    <w:p w:rsidR="009B05FC" w:rsidRPr="00B85E15" w:rsidRDefault="009B05FC" w:rsidP="00993C88">
      <w:pPr>
        <w:jc w:val="both"/>
        <w:rPr>
          <w:sz w:val="24"/>
          <w:szCs w:val="24"/>
        </w:rPr>
      </w:pPr>
    </w:p>
    <w:p w:rsidR="00B85E15" w:rsidRPr="00B85E15" w:rsidRDefault="00674839" w:rsidP="00993C8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Part 1 - </w:t>
      </w:r>
      <w:r w:rsidR="00B85E15" w:rsidRPr="00B85E15">
        <w:rPr>
          <w:b/>
          <w:sz w:val="40"/>
          <w:szCs w:val="40"/>
        </w:rPr>
        <w:t>Bottled water</w:t>
      </w:r>
    </w:p>
    <w:p w:rsidR="00993C88" w:rsidRPr="00B85E15" w:rsidRDefault="00993C88" w:rsidP="00993C88">
      <w:pPr>
        <w:jc w:val="both"/>
        <w:rPr>
          <w:sz w:val="24"/>
          <w:szCs w:val="24"/>
        </w:rPr>
      </w:pPr>
      <w:r w:rsidRPr="00B85E15">
        <w:rPr>
          <w:sz w:val="24"/>
          <w:szCs w:val="24"/>
        </w:rPr>
        <w:t>We will manage all customers registered on our Priority Service scheme with proactive calls and advice and ensure delivery of bottled water in line with our policy</w:t>
      </w:r>
      <w:r w:rsidR="00F6376A">
        <w:rPr>
          <w:sz w:val="24"/>
          <w:szCs w:val="24"/>
        </w:rPr>
        <w:t>.</w:t>
      </w:r>
    </w:p>
    <w:p w:rsidR="00993C88" w:rsidRDefault="00993C88" w:rsidP="00993C88">
      <w:pPr>
        <w:jc w:val="both"/>
        <w:rPr>
          <w:sz w:val="24"/>
          <w:szCs w:val="24"/>
        </w:rPr>
      </w:pPr>
      <w:r w:rsidRPr="00B85E15">
        <w:rPr>
          <w:sz w:val="24"/>
          <w:szCs w:val="24"/>
        </w:rPr>
        <w:t>For customers who are not registered but who may have needs in the community we will apply the following criteria for the delivery of bottled water.</w:t>
      </w:r>
    </w:p>
    <w:p w:rsidR="00993C88" w:rsidRDefault="00F6376A" w:rsidP="00993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Recognising there is an overlap, this part of the policy is </w:t>
      </w:r>
      <w:r w:rsidR="002D59E0">
        <w:rPr>
          <w:sz w:val="24"/>
          <w:szCs w:val="24"/>
        </w:rPr>
        <w:t>primarily</w:t>
      </w:r>
      <w:r>
        <w:rPr>
          <w:sz w:val="24"/>
          <w:szCs w:val="24"/>
        </w:rPr>
        <w:t xml:space="preserve"> aimed at customers in domestic situations.</w:t>
      </w:r>
    </w:p>
    <w:p w:rsidR="009B05FC" w:rsidRPr="00B85E15" w:rsidRDefault="009B05FC" w:rsidP="00993C88">
      <w:pPr>
        <w:jc w:val="both"/>
        <w:rPr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3C88" w:rsidRPr="00B85E15" w:rsidTr="006A7AA0">
        <w:tc>
          <w:tcPr>
            <w:tcW w:w="10485" w:type="dxa"/>
            <w:shd w:val="clear" w:color="auto" w:fill="BDD6EE" w:themeFill="accent1" w:themeFillTint="66"/>
          </w:tcPr>
          <w:p w:rsidR="00993C88" w:rsidRPr="00B85E15" w:rsidRDefault="00993C88" w:rsidP="006A7AA0">
            <w:pPr>
              <w:jc w:val="center"/>
              <w:rPr>
                <w:b/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>Priority Services</w:t>
            </w:r>
          </w:p>
          <w:p w:rsidR="00993C88" w:rsidRPr="00B85E15" w:rsidRDefault="00993C88" w:rsidP="006A7AA0">
            <w:pPr>
              <w:jc w:val="center"/>
              <w:rPr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>Scenarios - where bottled water will be provided</w:t>
            </w:r>
          </w:p>
        </w:tc>
      </w:tr>
      <w:tr w:rsidR="00993C88" w:rsidRPr="00B85E15" w:rsidTr="006A7AA0">
        <w:tc>
          <w:tcPr>
            <w:tcW w:w="10485" w:type="dxa"/>
            <w:shd w:val="clear" w:color="auto" w:fill="BDD6EE" w:themeFill="accent1" w:themeFillTint="66"/>
          </w:tcPr>
          <w:p w:rsidR="00993C88" w:rsidRDefault="00993C88" w:rsidP="006A7AA0">
            <w:pPr>
              <w:rPr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>Physical</w:t>
            </w:r>
            <w:r w:rsidRPr="00B85E15">
              <w:rPr>
                <w:sz w:val="24"/>
                <w:szCs w:val="24"/>
              </w:rPr>
              <w:t xml:space="preserve">  - Customers who are registered as disabled, or impacted by physical illness that impacts their mobility</w:t>
            </w:r>
          </w:p>
          <w:p w:rsidR="009B05FC" w:rsidRPr="00B85E15" w:rsidRDefault="009B05FC" w:rsidP="006A7AA0">
            <w:pPr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</w:tcPr>
          <w:p w:rsidR="00993C88" w:rsidRPr="00B85E15" w:rsidRDefault="00993C88" w:rsidP="00993C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 xml:space="preserve">If customer is struggling physically due to medical condition – </w:t>
            </w:r>
            <w:r w:rsidR="002D59E0" w:rsidRPr="00B85E15">
              <w:rPr>
                <w:sz w:val="24"/>
                <w:szCs w:val="24"/>
              </w:rPr>
              <w:t>e.g.</w:t>
            </w:r>
            <w:r w:rsidRPr="00B85E15">
              <w:rPr>
                <w:sz w:val="24"/>
                <w:szCs w:val="24"/>
              </w:rPr>
              <w:t xml:space="preserve"> arthritis</w:t>
            </w:r>
          </w:p>
          <w:p w:rsidR="00993C88" w:rsidRPr="00B85E15" w:rsidRDefault="00993C88" w:rsidP="00993C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Customers registered as disabled or mobility impacted</w:t>
            </w:r>
          </w:p>
          <w:p w:rsidR="00993C88" w:rsidRPr="00B85E15" w:rsidRDefault="00993C88" w:rsidP="00993C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Customers where doctor has specifically said they are not to use boiled water</w:t>
            </w:r>
          </w:p>
          <w:p w:rsidR="00554BF9" w:rsidRDefault="00993C88" w:rsidP="00554BF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Customers who request water as too weak through age or illness to boil kettles</w:t>
            </w:r>
          </w:p>
          <w:p w:rsidR="009B05FC" w:rsidRPr="00554BF9" w:rsidRDefault="009B05FC" w:rsidP="009B05F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  <w:shd w:val="clear" w:color="auto" w:fill="BDD6EE" w:themeFill="accent1" w:themeFillTint="66"/>
          </w:tcPr>
          <w:p w:rsidR="00993C88" w:rsidRDefault="00993C88" w:rsidP="006A7AA0">
            <w:pPr>
              <w:rPr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>Mental Heath</w:t>
            </w:r>
            <w:r w:rsidRPr="00B85E15">
              <w:rPr>
                <w:sz w:val="24"/>
                <w:szCs w:val="24"/>
              </w:rPr>
              <w:t xml:space="preserve"> - Customers whose normal day to day activity is impacted by a mental health condition</w:t>
            </w:r>
          </w:p>
          <w:p w:rsidR="009B05FC" w:rsidRPr="00B85E15" w:rsidRDefault="009B05FC" w:rsidP="006A7AA0">
            <w:pPr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</w:tcPr>
          <w:p w:rsidR="00993C88" w:rsidRDefault="00993C88" w:rsidP="0099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 xml:space="preserve">Customers or their representatives that express concern about ability for a customer to understand the </w:t>
            </w:r>
            <w:r w:rsidR="00F6376A">
              <w:rPr>
                <w:sz w:val="24"/>
                <w:szCs w:val="24"/>
              </w:rPr>
              <w:t>need to boil water for example,</w:t>
            </w:r>
            <w:r w:rsidRPr="00B85E15">
              <w:rPr>
                <w:sz w:val="24"/>
                <w:szCs w:val="24"/>
              </w:rPr>
              <w:t xml:space="preserve"> Alzheimer’s; learning difficulties</w:t>
            </w:r>
            <w:r w:rsidR="00554BF9">
              <w:rPr>
                <w:sz w:val="24"/>
                <w:szCs w:val="24"/>
              </w:rPr>
              <w:t>.  Likewise if the condition makes travelling to a water distribution point / shop impossible or difficult.</w:t>
            </w:r>
          </w:p>
          <w:p w:rsidR="009B05FC" w:rsidRPr="00B85E15" w:rsidRDefault="009B05FC" w:rsidP="009B05F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  <w:shd w:val="clear" w:color="auto" w:fill="BDD6EE" w:themeFill="accent1" w:themeFillTint="66"/>
          </w:tcPr>
          <w:p w:rsidR="00993C88" w:rsidRDefault="00993C88" w:rsidP="009B05FC">
            <w:pPr>
              <w:keepNext/>
              <w:rPr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  <w:shd w:val="clear" w:color="auto" w:fill="BDD6EE" w:themeFill="accent1" w:themeFillTint="66"/>
              </w:rPr>
              <w:lastRenderedPageBreak/>
              <w:t xml:space="preserve">Financial </w:t>
            </w:r>
            <w:r w:rsidRPr="00B85E15">
              <w:rPr>
                <w:sz w:val="24"/>
                <w:szCs w:val="24"/>
                <w:shd w:val="clear" w:color="auto" w:fill="BDD6EE" w:themeFill="accent1" w:themeFillTint="66"/>
              </w:rPr>
              <w:t>- Those whom find themselves subject to financial stress and or may be disadvantaged due to their</w:t>
            </w:r>
            <w:r w:rsidRPr="00B85E15">
              <w:rPr>
                <w:sz w:val="24"/>
                <w:szCs w:val="24"/>
              </w:rPr>
              <w:t xml:space="preserve"> financial circumstances</w:t>
            </w:r>
            <w:r w:rsidR="00554BF9">
              <w:rPr>
                <w:sz w:val="24"/>
                <w:szCs w:val="24"/>
              </w:rPr>
              <w:t xml:space="preserve">. </w:t>
            </w:r>
            <w:r w:rsidR="00554BF9" w:rsidRPr="00554BF9">
              <w:rPr>
                <w:sz w:val="24"/>
                <w:szCs w:val="24"/>
              </w:rPr>
              <w:t>We may make an advance compensation payment to these customers in the event of such a large scale incident and the amount and approach would be agreed by the Customer Task Team Leader</w:t>
            </w:r>
            <w:r w:rsidR="006D0CCF">
              <w:rPr>
                <w:sz w:val="24"/>
                <w:szCs w:val="24"/>
              </w:rPr>
              <w:t>.  This also applies to c</w:t>
            </w:r>
            <w:r w:rsidR="006D0CCF" w:rsidRPr="00B85E15">
              <w:rPr>
                <w:sz w:val="24"/>
                <w:szCs w:val="24"/>
              </w:rPr>
              <w:t xml:space="preserve">ustomers who are on </w:t>
            </w:r>
            <w:r w:rsidR="006D0CCF" w:rsidRPr="00554BF9">
              <w:rPr>
                <w:i/>
                <w:sz w:val="24"/>
                <w:szCs w:val="24"/>
              </w:rPr>
              <w:t>Water sure</w:t>
            </w:r>
            <w:r w:rsidR="006D0CCF" w:rsidRPr="00B85E15">
              <w:rPr>
                <w:sz w:val="24"/>
                <w:szCs w:val="24"/>
              </w:rPr>
              <w:t xml:space="preserve"> tariff</w:t>
            </w:r>
          </w:p>
          <w:p w:rsidR="001109C6" w:rsidRPr="00B85E15" w:rsidRDefault="001109C6" w:rsidP="009B05FC">
            <w:pPr>
              <w:keepNext/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</w:tcPr>
          <w:p w:rsidR="00993C88" w:rsidRDefault="00993C88" w:rsidP="00993C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 xml:space="preserve">Customer who has run out of money on their electric meter </w:t>
            </w:r>
            <w:r w:rsidR="00554BF9">
              <w:rPr>
                <w:sz w:val="24"/>
                <w:szCs w:val="24"/>
              </w:rPr>
              <w:t>where the incident required boiling water.</w:t>
            </w:r>
          </w:p>
          <w:p w:rsidR="00554BF9" w:rsidRDefault="00554BF9" w:rsidP="00993C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Customers under </w:t>
            </w:r>
            <w:r w:rsidR="002D59E0">
              <w:rPr>
                <w:sz w:val="24"/>
                <w:szCs w:val="24"/>
              </w:rPr>
              <w:t>financial</w:t>
            </w:r>
            <w:r>
              <w:rPr>
                <w:sz w:val="24"/>
                <w:szCs w:val="24"/>
              </w:rPr>
              <w:t xml:space="preserve"> stress where paying up-front for alternative supplies would be difficult</w:t>
            </w:r>
          </w:p>
          <w:p w:rsidR="00993C88" w:rsidRDefault="00554BF9" w:rsidP="006D0CC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Customers under </w:t>
            </w:r>
            <w:r w:rsidR="002D59E0">
              <w:rPr>
                <w:sz w:val="24"/>
                <w:szCs w:val="24"/>
              </w:rPr>
              <w:t>financial</w:t>
            </w:r>
            <w:r>
              <w:rPr>
                <w:sz w:val="24"/>
                <w:szCs w:val="24"/>
              </w:rPr>
              <w:t xml:space="preserve"> stress where travelling to water distribution points would be difficult</w:t>
            </w:r>
          </w:p>
          <w:p w:rsidR="001109C6" w:rsidRPr="006D0CCF" w:rsidRDefault="001109C6" w:rsidP="001109C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  <w:shd w:val="clear" w:color="auto" w:fill="BDD6EE" w:themeFill="accent1" w:themeFillTint="66"/>
          </w:tcPr>
          <w:p w:rsidR="00993C88" w:rsidRDefault="00993C88" w:rsidP="006A7AA0">
            <w:pPr>
              <w:rPr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>Life Event</w:t>
            </w:r>
            <w:r w:rsidRPr="00B85E15">
              <w:rPr>
                <w:sz w:val="24"/>
                <w:szCs w:val="24"/>
              </w:rPr>
              <w:t xml:space="preserve">  - Our customers with changing or developing needs as a result of life events such as flooding, bereavement,  just out of hospital, terminal illness</w:t>
            </w:r>
          </w:p>
          <w:p w:rsidR="001109C6" w:rsidRPr="00B85E15" w:rsidRDefault="001109C6" w:rsidP="006A7AA0">
            <w:pPr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</w:tcPr>
          <w:p w:rsidR="00993C88" w:rsidRDefault="00993C88" w:rsidP="00993C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 has an open wound – e.g. just back from hospital</w:t>
            </w:r>
          </w:p>
          <w:p w:rsidR="00554BF9" w:rsidRPr="00B85E15" w:rsidRDefault="00554BF9" w:rsidP="00993C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Customers whose homes are flooded and therefore access to an electricity or gas supply impacted</w:t>
            </w:r>
          </w:p>
          <w:p w:rsidR="00993C88" w:rsidRDefault="00993C88" w:rsidP="00F637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Customers on immunosuppressant medication such as chemotherapy – should be boiling water as advised by hospital doctor as part of normal medical advice but provide bottled water if requested</w:t>
            </w:r>
          </w:p>
          <w:p w:rsidR="001109C6" w:rsidRPr="00F6376A" w:rsidRDefault="001109C6" w:rsidP="001109C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  <w:shd w:val="clear" w:color="auto" w:fill="BDD6EE" w:themeFill="accent1" w:themeFillTint="66"/>
          </w:tcPr>
          <w:p w:rsidR="00993C88" w:rsidRPr="00B85E15" w:rsidRDefault="00993C88" w:rsidP="006A7AA0">
            <w:pPr>
              <w:rPr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>Language</w:t>
            </w:r>
            <w:r w:rsidRPr="00B85E15">
              <w:rPr>
                <w:sz w:val="24"/>
                <w:szCs w:val="24"/>
              </w:rPr>
              <w:t xml:space="preserve"> - Those whom English is not their first written or spoken language. We have a full language </w:t>
            </w:r>
            <w:r w:rsidR="00F6376A">
              <w:rPr>
                <w:sz w:val="24"/>
                <w:szCs w:val="24"/>
              </w:rPr>
              <w:t>line service.</w:t>
            </w:r>
          </w:p>
        </w:tc>
      </w:tr>
      <w:tr w:rsidR="00993C88" w:rsidRPr="00B85E15" w:rsidTr="006A7AA0">
        <w:tc>
          <w:tcPr>
            <w:tcW w:w="10485" w:type="dxa"/>
          </w:tcPr>
          <w:p w:rsidR="00993C88" w:rsidRPr="00B85E15" w:rsidRDefault="00993C88" w:rsidP="00993C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Not provided on basis of language difficulties -unless customer meets other criteria</w:t>
            </w:r>
          </w:p>
          <w:p w:rsidR="00993C88" w:rsidRPr="00B85E15" w:rsidRDefault="00993C88" w:rsidP="00993C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 xml:space="preserve">Refer customer to Language Line for full translation services if required </w:t>
            </w:r>
          </w:p>
          <w:p w:rsidR="00993C88" w:rsidRDefault="00993C88" w:rsidP="006A7AA0">
            <w:pPr>
              <w:pStyle w:val="ListParagraph"/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 xml:space="preserve">Telephone number </w:t>
            </w:r>
            <w:r w:rsidRPr="00B85E15">
              <w:rPr>
                <w:b/>
                <w:sz w:val="24"/>
                <w:szCs w:val="24"/>
              </w:rPr>
              <w:t>0845 310 9900 and quote code L14009</w:t>
            </w:r>
            <w:r w:rsidRPr="00B85E15">
              <w:rPr>
                <w:sz w:val="24"/>
                <w:szCs w:val="24"/>
              </w:rPr>
              <w:t xml:space="preserve"> </w:t>
            </w:r>
          </w:p>
          <w:p w:rsidR="001109C6" w:rsidRPr="00B85E15" w:rsidRDefault="001109C6" w:rsidP="006A7AA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93C88" w:rsidRPr="00F6376A" w:rsidRDefault="00993C88" w:rsidP="00F6376A">
      <w:pPr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93C88" w:rsidRPr="00B85E15" w:rsidTr="006A7AA0">
        <w:tc>
          <w:tcPr>
            <w:tcW w:w="10485" w:type="dxa"/>
            <w:shd w:val="clear" w:color="auto" w:fill="BDD6EE" w:themeFill="accent1" w:themeFillTint="66"/>
          </w:tcPr>
          <w:p w:rsidR="00993C88" w:rsidRPr="00B85E15" w:rsidRDefault="00993C88" w:rsidP="00F6376A">
            <w:pPr>
              <w:rPr>
                <w:b/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>Scenarios: Where we would not normally provide bottled water</w:t>
            </w:r>
          </w:p>
        </w:tc>
      </w:tr>
      <w:tr w:rsidR="00993C88" w:rsidRPr="00B85E15" w:rsidTr="006A7AA0">
        <w:tc>
          <w:tcPr>
            <w:tcW w:w="10485" w:type="dxa"/>
          </w:tcPr>
          <w:p w:rsidR="00993C88" w:rsidRPr="00B85E15" w:rsidRDefault="00993C88" w:rsidP="00993C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 with lots of children or young children with no medical reasons</w:t>
            </w:r>
          </w:p>
          <w:p w:rsidR="00F6376A" w:rsidRDefault="00F6376A" w:rsidP="00F637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boil-water incidents,</w:t>
            </w:r>
          </w:p>
          <w:p w:rsidR="00F6376A" w:rsidRPr="00B85E15" w:rsidRDefault="00F6376A" w:rsidP="00F6376A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85E15">
              <w:rPr>
                <w:sz w:val="24"/>
                <w:szCs w:val="24"/>
              </w:rPr>
              <w:t>f the customer can on a normal day make a cup of tea, and boil a kettle</w:t>
            </w:r>
          </w:p>
          <w:p w:rsidR="00F6376A" w:rsidRDefault="00993C88" w:rsidP="00F637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376A">
              <w:rPr>
                <w:sz w:val="24"/>
                <w:szCs w:val="24"/>
              </w:rPr>
              <w:t xml:space="preserve">Customers requesting bottled water for pets </w:t>
            </w:r>
            <w:r w:rsidR="00F6376A">
              <w:rPr>
                <w:sz w:val="24"/>
                <w:szCs w:val="24"/>
              </w:rPr>
              <w:t>and livestock, ensure the incident Q&amp;</w:t>
            </w:r>
            <w:proofErr w:type="gramStart"/>
            <w:r w:rsidR="00F6376A">
              <w:rPr>
                <w:sz w:val="24"/>
                <w:szCs w:val="24"/>
              </w:rPr>
              <w:t>As</w:t>
            </w:r>
            <w:proofErr w:type="gramEnd"/>
            <w:r w:rsidR="00F6376A">
              <w:rPr>
                <w:sz w:val="24"/>
                <w:szCs w:val="24"/>
              </w:rPr>
              <w:t xml:space="preserve"> address questions </w:t>
            </w:r>
            <w:r w:rsidR="002D59E0">
              <w:rPr>
                <w:sz w:val="24"/>
                <w:szCs w:val="24"/>
              </w:rPr>
              <w:t>customers</w:t>
            </w:r>
            <w:r w:rsidR="00F6376A">
              <w:rPr>
                <w:sz w:val="24"/>
                <w:szCs w:val="24"/>
              </w:rPr>
              <w:t xml:space="preserve"> may be expected to ask in</w:t>
            </w:r>
            <w:r w:rsidR="002D59E0">
              <w:rPr>
                <w:sz w:val="24"/>
                <w:szCs w:val="24"/>
              </w:rPr>
              <w:t xml:space="preserve"> the</w:t>
            </w:r>
            <w:r w:rsidR="00F6376A">
              <w:rPr>
                <w:sz w:val="24"/>
                <w:szCs w:val="24"/>
              </w:rPr>
              <w:t xml:space="preserve"> context of the incident.</w:t>
            </w:r>
          </w:p>
          <w:p w:rsidR="00993C88" w:rsidRPr="00B85E15" w:rsidRDefault="00993C88" w:rsidP="00993C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Hotels, cafes</w:t>
            </w:r>
            <w:r w:rsidR="00F6376A">
              <w:rPr>
                <w:sz w:val="24"/>
                <w:szCs w:val="24"/>
              </w:rPr>
              <w:t xml:space="preserve">, pubs </w:t>
            </w:r>
            <w:r w:rsidRPr="00B85E15">
              <w:rPr>
                <w:sz w:val="24"/>
                <w:szCs w:val="24"/>
              </w:rPr>
              <w:t xml:space="preserve"> and coffee shops</w:t>
            </w:r>
          </w:p>
          <w:p w:rsidR="00993C88" w:rsidRPr="00B85E15" w:rsidRDefault="00993C88" w:rsidP="00993C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Child minders</w:t>
            </w:r>
          </w:p>
          <w:p w:rsidR="00993C88" w:rsidRPr="00B85E15" w:rsidRDefault="00993C88" w:rsidP="006A7AA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93C88" w:rsidRPr="00B85E15" w:rsidRDefault="00993C88" w:rsidP="00993C88">
      <w:pPr>
        <w:rPr>
          <w:sz w:val="24"/>
          <w:szCs w:val="24"/>
        </w:rPr>
      </w:pPr>
    </w:p>
    <w:p w:rsidR="00993C88" w:rsidRPr="00B85E15" w:rsidRDefault="00993C88" w:rsidP="00993C88">
      <w:pPr>
        <w:rPr>
          <w:b/>
          <w:sz w:val="24"/>
          <w:szCs w:val="24"/>
        </w:rPr>
      </w:pPr>
      <w:r w:rsidRPr="00B85E15">
        <w:rPr>
          <w:b/>
          <w:sz w:val="24"/>
          <w:szCs w:val="24"/>
        </w:rPr>
        <w:t xml:space="preserve">Any unusual or sensitive cases </w:t>
      </w:r>
      <w:r w:rsidR="00E32930">
        <w:rPr>
          <w:b/>
          <w:sz w:val="24"/>
          <w:szCs w:val="24"/>
        </w:rPr>
        <w:t>to be referred</w:t>
      </w:r>
      <w:r w:rsidRPr="00B85E15">
        <w:rPr>
          <w:b/>
          <w:sz w:val="24"/>
          <w:szCs w:val="24"/>
        </w:rPr>
        <w:t xml:space="preserve"> to the Customer Task Team Leader for </w:t>
      </w:r>
      <w:r w:rsidR="00E32930">
        <w:rPr>
          <w:b/>
          <w:sz w:val="24"/>
          <w:szCs w:val="24"/>
        </w:rPr>
        <w:t>i</w:t>
      </w:r>
      <w:r w:rsidRPr="00B85E15">
        <w:rPr>
          <w:b/>
          <w:sz w:val="24"/>
          <w:szCs w:val="24"/>
        </w:rPr>
        <w:t>mmediate decision.</w:t>
      </w:r>
    </w:p>
    <w:p w:rsidR="00993C88" w:rsidRPr="00B85E15" w:rsidRDefault="00993C88" w:rsidP="00993C88">
      <w:pPr>
        <w:rPr>
          <w:rFonts w:cs="Arial"/>
          <w:sz w:val="24"/>
          <w:szCs w:val="24"/>
          <w:u w:val="single"/>
        </w:rPr>
      </w:pPr>
    </w:p>
    <w:p w:rsidR="009B05FC" w:rsidRDefault="009B05F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p w:rsidR="00993C88" w:rsidRPr="00674839" w:rsidRDefault="00674839" w:rsidP="00993C88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Part 2 - </w:t>
      </w:r>
      <w:r w:rsidR="00993C88" w:rsidRPr="00674839">
        <w:rPr>
          <w:rFonts w:cs="Arial"/>
          <w:b/>
          <w:sz w:val="40"/>
          <w:szCs w:val="40"/>
        </w:rPr>
        <w:t xml:space="preserve">Sensitive </w:t>
      </w:r>
      <w:proofErr w:type="gramStart"/>
      <w:r w:rsidR="00993C88" w:rsidRPr="00674839">
        <w:rPr>
          <w:rFonts w:cs="Arial"/>
          <w:b/>
          <w:sz w:val="40"/>
          <w:szCs w:val="40"/>
        </w:rPr>
        <w:t>customers</w:t>
      </w:r>
      <w:proofErr w:type="gramEnd"/>
      <w:r w:rsidR="00993C88" w:rsidRPr="00674839">
        <w:rPr>
          <w:rFonts w:cs="Arial"/>
          <w:b/>
          <w:sz w:val="40"/>
          <w:szCs w:val="40"/>
        </w:rPr>
        <w:t xml:space="preserve"> policy</w:t>
      </w:r>
    </w:p>
    <w:p w:rsidR="00674839" w:rsidRDefault="00674839" w:rsidP="006748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part of the </w:t>
      </w:r>
      <w:r w:rsidR="002D59E0">
        <w:rPr>
          <w:rFonts w:cs="Arial"/>
          <w:sz w:val="24"/>
          <w:szCs w:val="24"/>
        </w:rPr>
        <w:t>policy</w:t>
      </w:r>
      <w:r>
        <w:rPr>
          <w:rFonts w:cs="Arial"/>
          <w:sz w:val="24"/>
          <w:szCs w:val="24"/>
        </w:rPr>
        <w:t xml:space="preserve"> contextualises Part 1 </w:t>
      </w:r>
      <w:r w:rsidR="00CD2A6A">
        <w:rPr>
          <w:rFonts w:cs="Arial"/>
          <w:sz w:val="24"/>
          <w:szCs w:val="24"/>
        </w:rPr>
        <w:t xml:space="preserve">above </w:t>
      </w:r>
      <w:r>
        <w:rPr>
          <w:rFonts w:cs="Arial"/>
          <w:sz w:val="24"/>
          <w:szCs w:val="24"/>
        </w:rPr>
        <w:t>in the overall approach to alternative water.</w:t>
      </w:r>
      <w:r w:rsidR="000422F4">
        <w:rPr>
          <w:rFonts w:cs="Arial"/>
          <w:sz w:val="24"/>
          <w:szCs w:val="24"/>
        </w:rPr>
        <w:t xml:space="preserve"> It also provides guidance to non-household retailers in assessing which of their customers’ premises need to be marked as “sensitive”</w:t>
      </w:r>
      <w:r>
        <w:rPr>
          <w:rFonts w:cs="Arial"/>
          <w:sz w:val="24"/>
          <w:szCs w:val="24"/>
        </w:rPr>
        <w:t xml:space="preserve"> </w:t>
      </w:r>
      <w:r w:rsidR="000422F4">
        <w:rPr>
          <w:rFonts w:cs="Arial"/>
          <w:sz w:val="24"/>
          <w:szCs w:val="24"/>
        </w:rPr>
        <w:t>in the Central Market Operator System.</w:t>
      </w:r>
      <w:r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D2A6A" w:rsidRPr="00B85E15" w:rsidTr="00CD2A6A">
        <w:trPr>
          <w:trHeight w:val="2672"/>
        </w:trPr>
        <w:tc>
          <w:tcPr>
            <w:tcW w:w="10485" w:type="dxa"/>
            <w:shd w:val="clear" w:color="auto" w:fill="FFABAB"/>
          </w:tcPr>
          <w:p w:rsidR="00CD2A6A" w:rsidRPr="00960C5F" w:rsidRDefault="00CD2A6A" w:rsidP="006A7AA0">
            <w:pPr>
              <w:rPr>
                <w:rFonts w:cs="Arial"/>
                <w:sz w:val="24"/>
                <w:szCs w:val="24"/>
              </w:rPr>
            </w:pPr>
            <w:r w:rsidRPr="00B85E15">
              <w:rPr>
                <w:rFonts w:cs="Arial"/>
                <w:b/>
                <w:sz w:val="24"/>
                <w:szCs w:val="24"/>
              </w:rPr>
              <w:t>T</w:t>
            </w:r>
            <w:r>
              <w:rPr>
                <w:rFonts w:cs="Arial"/>
                <w:b/>
                <w:sz w:val="24"/>
                <w:szCs w:val="24"/>
              </w:rPr>
              <w:t>ier One</w:t>
            </w:r>
          </w:p>
          <w:p w:rsidR="00CD2A6A" w:rsidRPr="00960C5F" w:rsidRDefault="00CD2A6A" w:rsidP="006A7AA0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sz w:val="24"/>
                <w:szCs w:val="24"/>
              </w:rPr>
              <w:t>Customers for whom Part 1 (Priority Services) applies</w:t>
            </w:r>
          </w:p>
          <w:p w:rsidR="00CD2A6A" w:rsidRPr="00960C5F" w:rsidRDefault="00CD2A6A" w:rsidP="006A7AA0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sz w:val="24"/>
                <w:szCs w:val="24"/>
              </w:rPr>
              <w:t xml:space="preserve">High dependency / vulnerable residential population including where relocation is highly problematic. </w:t>
            </w:r>
          </w:p>
          <w:p w:rsidR="00CD2A6A" w:rsidRPr="00960C5F" w:rsidRDefault="00CD2A6A" w:rsidP="00CD2A6A">
            <w:pPr>
              <w:ind w:left="1440"/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b/>
                <w:sz w:val="24"/>
                <w:szCs w:val="24"/>
              </w:rPr>
              <w:t>Offering:</w:t>
            </w:r>
            <w:r w:rsidRPr="00960C5F">
              <w:rPr>
                <w:rFonts w:cs="Arial"/>
                <w:sz w:val="24"/>
                <w:szCs w:val="24"/>
              </w:rPr>
              <w:t xml:space="preserve"> a site specific alternative supplies plan for </w:t>
            </w:r>
            <w:proofErr w:type="spellStart"/>
            <w:r w:rsidRPr="00960C5F">
              <w:rPr>
                <w:rFonts w:cs="Arial"/>
                <w:sz w:val="24"/>
                <w:szCs w:val="24"/>
              </w:rPr>
              <w:t>tankered</w:t>
            </w:r>
            <w:proofErr w:type="spellEnd"/>
            <w:r w:rsidRPr="00960C5F">
              <w:rPr>
                <w:rFonts w:cs="Arial"/>
                <w:sz w:val="24"/>
                <w:szCs w:val="24"/>
              </w:rPr>
              <w:t xml:space="preserve"> water provision (pumped into private network)</w:t>
            </w:r>
          </w:p>
          <w:p w:rsidR="00CD2A6A" w:rsidRPr="00960C5F" w:rsidRDefault="00CD2A6A" w:rsidP="00993C88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Hospitals</w:t>
            </w:r>
          </w:p>
          <w:p w:rsidR="00CD2A6A" w:rsidRPr="00960C5F" w:rsidRDefault="00CD2A6A" w:rsidP="00CD2A6A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Prisons</w:t>
            </w:r>
          </w:p>
          <w:p w:rsidR="00CD2A6A" w:rsidRPr="00B85E15" w:rsidRDefault="00CD2A6A" w:rsidP="006A7AA0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</w:tr>
      <w:tr w:rsidR="00CD2A6A" w:rsidRPr="00B85E15" w:rsidTr="00CD2A6A">
        <w:trPr>
          <w:trHeight w:val="2074"/>
        </w:trPr>
        <w:tc>
          <w:tcPr>
            <w:tcW w:w="10485" w:type="dxa"/>
            <w:shd w:val="clear" w:color="auto" w:fill="F7CAAC" w:themeFill="accent2" w:themeFillTint="66"/>
          </w:tcPr>
          <w:p w:rsidR="00CD2A6A" w:rsidRDefault="00CD2A6A" w:rsidP="006A7AA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Tier Two</w:t>
            </w:r>
          </w:p>
          <w:p w:rsidR="00CD2A6A" w:rsidRPr="00960C5F" w:rsidRDefault="00CD2A6A" w:rsidP="00CD2A6A">
            <w:pPr>
              <w:ind w:left="720"/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sz w:val="24"/>
                <w:szCs w:val="24"/>
              </w:rPr>
              <w:t xml:space="preserve">Vulnerable residential population </w:t>
            </w:r>
          </w:p>
          <w:p w:rsidR="00CD2A6A" w:rsidRPr="00960C5F" w:rsidRDefault="00CD2A6A" w:rsidP="00CD2A6A">
            <w:pPr>
              <w:ind w:left="1440"/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b/>
                <w:sz w:val="24"/>
                <w:szCs w:val="24"/>
              </w:rPr>
              <w:t>Offering:</w:t>
            </w:r>
            <w:r w:rsidRPr="00960C5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60C5F">
              <w:rPr>
                <w:rFonts w:cs="Arial"/>
                <w:sz w:val="24"/>
                <w:szCs w:val="24"/>
              </w:rPr>
              <w:t>tankered</w:t>
            </w:r>
            <w:proofErr w:type="spellEnd"/>
            <w:r w:rsidRPr="00960C5F">
              <w:rPr>
                <w:rFonts w:cs="Arial"/>
                <w:sz w:val="24"/>
                <w:szCs w:val="24"/>
              </w:rPr>
              <w:t xml:space="preserve"> supply or dedicated static tank/bottled water*</w:t>
            </w:r>
          </w:p>
          <w:p w:rsidR="00CD2A6A" w:rsidRPr="00CD2A6A" w:rsidRDefault="00CD2A6A" w:rsidP="00CD2A6A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Residential care homes (elderly, infirm, hospices etc.)</w:t>
            </w:r>
          </w:p>
        </w:tc>
      </w:tr>
      <w:tr w:rsidR="00CD2A6A" w:rsidRPr="00B85E15" w:rsidTr="00CD2A6A">
        <w:trPr>
          <w:trHeight w:val="3577"/>
        </w:trPr>
        <w:tc>
          <w:tcPr>
            <w:tcW w:w="10485" w:type="dxa"/>
            <w:shd w:val="clear" w:color="auto" w:fill="BDD6EE" w:themeFill="accent1" w:themeFillTint="66"/>
          </w:tcPr>
          <w:p w:rsidR="00CD2A6A" w:rsidRPr="00960C5F" w:rsidRDefault="00CD2A6A" w:rsidP="006A7AA0">
            <w:pPr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sz w:val="24"/>
                <w:szCs w:val="24"/>
              </w:rPr>
              <w:t>Tier Three</w:t>
            </w:r>
          </w:p>
          <w:p w:rsidR="00CD2A6A" w:rsidRPr="00960C5F" w:rsidRDefault="00CD2A6A" w:rsidP="00CD2A6A">
            <w:pPr>
              <w:ind w:left="720"/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sz w:val="24"/>
                <w:szCs w:val="24"/>
              </w:rPr>
              <w:t xml:space="preserve">Non-residential but unacceptable societal impact </w:t>
            </w:r>
          </w:p>
          <w:p w:rsidR="00CD2A6A" w:rsidRPr="00960C5F" w:rsidRDefault="00CD2A6A" w:rsidP="00CD2A6A">
            <w:pPr>
              <w:ind w:left="1440"/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b/>
                <w:sz w:val="24"/>
                <w:szCs w:val="24"/>
              </w:rPr>
              <w:t>Offering:</w:t>
            </w:r>
            <w:r w:rsidRPr="00960C5F">
              <w:rPr>
                <w:rFonts w:cs="Arial"/>
                <w:sz w:val="24"/>
                <w:szCs w:val="24"/>
              </w:rPr>
              <w:t xml:space="preserve"> dedicated static tank/bottled water*</w:t>
            </w:r>
          </w:p>
          <w:p w:rsidR="00CD2A6A" w:rsidRPr="00960C5F" w:rsidRDefault="00CD2A6A" w:rsidP="00993C88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Educational establishments</w:t>
            </w:r>
          </w:p>
          <w:p w:rsidR="00CD2A6A" w:rsidRPr="00960C5F" w:rsidRDefault="00CD2A6A" w:rsidP="00993C88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NHS Walk-in centres</w:t>
            </w:r>
          </w:p>
          <w:p w:rsidR="00CD2A6A" w:rsidRPr="00960C5F" w:rsidRDefault="00CD2A6A" w:rsidP="00993C88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Day-care facilities</w:t>
            </w:r>
          </w:p>
          <w:p w:rsidR="00CD2A6A" w:rsidRPr="00960C5F" w:rsidRDefault="00CD2A6A" w:rsidP="00993C88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Critical national or local infrastructure (as defined by Government or Local Resilience Forums during planning or response); i.e. establishments which, if they close will have an immediate detrimental effect on civil society or negatively affect a wider incident response (e.g. communications; energy; food production or distribution; emergency services; transport hubs).</w:t>
            </w:r>
          </w:p>
          <w:p w:rsidR="00CD2A6A" w:rsidRPr="00B85E15" w:rsidRDefault="00CD2A6A" w:rsidP="006A7AA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7E5964" w:rsidRPr="00B85E15" w:rsidTr="007E5964">
        <w:trPr>
          <w:trHeight w:val="1781"/>
        </w:trPr>
        <w:tc>
          <w:tcPr>
            <w:tcW w:w="10485" w:type="dxa"/>
            <w:shd w:val="clear" w:color="auto" w:fill="C5E0B3" w:themeFill="accent6" w:themeFillTint="66"/>
          </w:tcPr>
          <w:p w:rsidR="007E5964" w:rsidRPr="00960C5F" w:rsidRDefault="007E5964" w:rsidP="006A7AA0">
            <w:pPr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sz w:val="24"/>
                <w:szCs w:val="24"/>
              </w:rPr>
              <w:t>Tier Four</w:t>
            </w:r>
          </w:p>
          <w:p w:rsidR="007E5964" w:rsidRPr="00960C5F" w:rsidRDefault="007E5964" w:rsidP="007E5964">
            <w:pPr>
              <w:ind w:left="720"/>
              <w:rPr>
                <w:rFonts w:cs="Arial"/>
                <w:sz w:val="24"/>
                <w:szCs w:val="24"/>
              </w:rPr>
            </w:pPr>
            <w:r w:rsidRPr="00960C5F">
              <w:rPr>
                <w:rFonts w:cs="Arial"/>
                <w:sz w:val="24"/>
                <w:szCs w:val="24"/>
              </w:rPr>
              <w:t>Agricultural/economic hardship *</w:t>
            </w:r>
          </w:p>
          <w:p w:rsidR="007E5964" w:rsidRPr="00960C5F" w:rsidRDefault="007E5964" w:rsidP="007E5964">
            <w:pPr>
              <w:ind w:left="1440"/>
              <w:rPr>
                <w:sz w:val="24"/>
                <w:szCs w:val="24"/>
              </w:rPr>
            </w:pPr>
            <w:r w:rsidRPr="00960C5F">
              <w:rPr>
                <w:rFonts w:cs="Arial"/>
                <w:b/>
                <w:sz w:val="24"/>
                <w:szCs w:val="24"/>
              </w:rPr>
              <w:t>Offering:</w:t>
            </w:r>
            <w:r w:rsidRPr="00960C5F">
              <w:rPr>
                <w:rFonts w:cs="Arial"/>
                <w:sz w:val="24"/>
                <w:szCs w:val="24"/>
              </w:rPr>
              <w:t xml:space="preserve"> dedicated static tanks (consider non-potable water options)</w:t>
            </w:r>
          </w:p>
          <w:p w:rsidR="007E5964" w:rsidRPr="00960C5F" w:rsidRDefault="007E5964" w:rsidP="00993C88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>Premises with livestock, without access to suitable environmental water, where relocation is highly problematic</w:t>
            </w:r>
          </w:p>
          <w:p w:rsidR="007E5964" w:rsidRPr="00960C5F" w:rsidRDefault="007E5964" w:rsidP="00993C88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960C5F">
              <w:rPr>
                <w:i/>
                <w:sz w:val="24"/>
                <w:szCs w:val="24"/>
              </w:rPr>
              <w:t xml:space="preserve">Other commercial enterprises where available alternative supplies (bottled water, dedicated static tank </w:t>
            </w:r>
            <w:r w:rsidR="002D59E0" w:rsidRPr="00960C5F">
              <w:rPr>
                <w:i/>
                <w:sz w:val="24"/>
                <w:szCs w:val="24"/>
              </w:rPr>
              <w:t>e</w:t>
            </w:r>
            <w:r w:rsidR="002D59E0">
              <w:rPr>
                <w:i/>
                <w:sz w:val="24"/>
                <w:szCs w:val="24"/>
              </w:rPr>
              <w:t>tc.</w:t>
            </w:r>
            <w:r w:rsidRPr="00960C5F">
              <w:rPr>
                <w:i/>
                <w:sz w:val="24"/>
                <w:szCs w:val="24"/>
              </w:rPr>
              <w:t xml:space="preserve"> can maintain their operations)</w:t>
            </w:r>
          </w:p>
          <w:p w:rsidR="007E5964" w:rsidRPr="00B85E15" w:rsidRDefault="007E5964" w:rsidP="006A7AA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993C88" w:rsidRPr="00B85E15" w:rsidTr="006A7AA0">
        <w:tc>
          <w:tcPr>
            <w:tcW w:w="10485" w:type="dxa"/>
          </w:tcPr>
          <w:p w:rsidR="00993C88" w:rsidRPr="00B85E15" w:rsidRDefault="00993C88" w:rsidP="006A7AA0">
            <w:pPr>
              <w:rPr>
                <w:b/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 xml:space="preserve">* If the higher tier needs have been satisfied, resource permitting, </w:t>
            </w:r>
            <w:proofErr w:type="spellStart"/>
            <w:r w:rsidRPr="00B85E15">
              <w:rPr>
                <w:b/>
                <w:sz w:val="24"/>
                <w:szCs w:val="24"/>
              </w:rPr>
              <w:t>tankered</w:t>
            </w:r>
            <w:proofErr w:type="spellEnd"/>
            <w:r w:rsidRPr="00B85E15">
              <w:rPr>
                <w:b/>
                <w:sz w:val="24"/>
                <w:szCs w:val="24"/>
              </w:rPr>
              <w:t xml:space="preserve"> water provision (pumped into private network) may be considered.</w:t>
            </w:r>
          </w:p>
        </w:tc>
      </w:tr>
    </w:tbl>
    <w:p w:rsidR="00960C5F" w:rsidRDefault="00960C5F" w:rsidP="00993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4839" w:rsidRPr="00B85E15" w:rsidTr="005D542A">
        <w:tc>
          <w:tcPr>
            <w:tcW w:w="10485" w:type="dxa"/>
            <w:shd w:val="clear" w:color="auto" w:fill="FFE599" w:themeFill="accent4" w:themeFillTint="66"/>
          </w:tcPr>
          <w:p w:rsidR="00674839" w:rsidRPr="00B85E15" w:rsidRDefault="00674839" w:rsidP="00960C5F">
            <w:pPr>
              <w:rPr>
                <w:b/>
                <w:sz w:val="24"/>
                <w:szCs w:val="24"/>
              </w:rPr>
            </w:pPr>
            <w:r w:rsidRPr="00B85E15">
              <w:rPr>
                <w:b/>
                <w:sz w:val="24"/>
                <w:szCs w:val="24"/>
              </w:rPr>
              <w:t xml:space="preserve">Scenarios: Where we would not normally </w:t>
            </w:r>
            <w:r w:rsidR="00960C5F">
              <w:rPr>
                <w:b/>
                <w:sz w:val="24"/>
                <w:szCs w:val="24"/>
              </w:rPr>
              <w:t>deliver</w:t>
            </w:r>
            <w:r w:rsidRPr="00B85E15">
              <w:rPr>
                <w:b/>
                <w:sz w:val="24"/>
                <w:szCs w:val="24"/>
              </w:rPr>
              <w:t xml:space="preserve"> bottled water</w:t>
            </w:r>
          </w:p>
        </w:tc>
      </w:tr>
      <w:tr w:rsidR="00674839" w:rsidRPr="00B85E15" w:rsidTr="00CD2A6A">
        <w:tc>
          <w:tcPr>
            <w:tcW w:w="10485" w:type="dxa"/>
          </w:tcPr>
          <w:p w:rsidR="00674839" w:rsidRPr="00B85E15" w:rsidRDefault="00674839" w:rsidP="00CD2A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Customer with lots of children or young children with no medical reasons</w:t>
            </w:r>
          </w:p>
          <w:p w:rsidR="00674839" w:rsidRDefault="00674839" w:rsidP="00CD2A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boil-water incidents</w:t>
            </w:r>
          </w:p>
          <w:p w:rsidR="00674839" w:rsidRPr="00B85E15" w:rsidRDefault="00674839" w:rsidP="00CD2A6A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85E15">
              <w:rPr>
                <w:sz w:val="24"/>
                <w:szCs w:val="24"/>
              </w:rPr>
              <w:t>f the customer can on a normal day make a cup of tea, and boil a kettle</w:t>
            </w:r>
          </w:p>
          <w:p w:rsidR="00674839" w:rsidRDefault="00674839" w:rsidP="00CD2A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376A">
              <w:rPr>
                <w:sz w:val="24"/>
                <w:szCs w:val="24"/>
              </w:rPr>
              <w:t xml:space="preserve">Customers requesting bottled water for pets </w:t>
            </w:r>
            <w:r>
              <w:rPr>
                <w:sz w:val="24"/>
                <w:szCs w:val="24"/>
              </w:rPr>
              <w:t>and livestock</w:t>
            </w:r>
            <w:r w:rsidR="00960C5F">
              <w:rPr>
                <w:sz w:val="24"/>
                <w:szCs w:val="24"/>
              </w:rPr>
              <w:t>.  E</w:t>
            </w:r>
            <w:r>
              <w:rPr>
                <w:sz w:val="24"/>
                <w:szCs w:val="24"/>
              </w:rPr>
              <w:t>nsure the incident Q&amp;</w:t>
            </w:r>
            <w:proofErr w:type="gramStart"/>
            <w:r>
              <w:rPr>
                <w:sz w:val="24"/>
                <w:szCs w:val="24"/>
              </w:rPr>
              <w:t>As</w:t>
            </w:r>
            <w:proofErr w:type="gramEnd"/>
            <w:r>
              <w:rPr>
                <w:sz w:val="24"/>
                <w:szCs w:val="24"/>
              </w:rPr>
              <w:t xml:space="preserve"> address questions </w:t>
            </w:r>
            <w:r w:rsidR="002D59E0">
              <w:rPr>
                <w:sz w:val="24"/>
                <w:szCs w:val="24"/>
              </w:rPr>
              <w:t>customers</w:t>
            </w:r>
            <w:r>
              <w:rPr>
                <w:sz w:val="24"/>
                <w:szCs w:val="24"/>
              </w:rPr>
              <w:t xml:space="preserve"> may be expected to ask in</w:t>
            </w:r>
            <w:r w:rsidR="00960C5F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context of the incident.</w:t>
            </w:r>
          </w:p>
          <w:p w:rsidR="00674839" w:rsidRPr="00B85E15" w:rsidRDefault="00674839" w:rsidP="00CD2A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Hotels, cafes</w:t>
            </w:r>
            <w:r w:rsidR="00960C5F">
              <w:rPr>
                <w:sz w:val="24"/>
                <w:szCs w:val="24"/>
              </w:rPr>
              <w:t>, pubs</w:t>
            </w:r>
            <w:r w:rsidRPr="00B85E15">
              <w:rPr>
                <w:sz w:val="24"/>
                <w:szCs w:val="24"/>
              </w:rPr>
              <w:t xml:space="preserve"> </w:t>
            </w:r>
            <w:r w:rsidR="002D59E0">
              <w:rPr>
                <w:sz w:val="24"/>
                <w:szCs w:val="24"/>
              </w:rPr>
              <w:t>etc.</w:t>
            </w:r>
          </w:p>
          <w:p w:rsidR="00674839" w:rsidRPr="00B85E15" w:rsidRDefault="00674839" w:rsidP="00CD2A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85E15">
              <w:rPr>
                <w:sz w:val="24"/>
                <w:szCs w:val="24"/>
              </w:rPr>
              <w:t>Child minders</w:t>
            </w:r>
          </w:p>
          <w:p w:rsidR="00674839" w:rsidRPr="00B85E15" w:rsidRDefault="00674839" w:rsidP="00CD2A6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E02703" w:rsidRPr="00B85E15" w:rsidRDefault="00E02703" w:rsidP="00B06D09">
      <w:pPr>
        <w:spacing w:after="0" w:line="240" w:lineRule="auto"/>
        <w:rPr>
          <w:sz w:val="24"/>
          <w:szCs w:val="24"/>
        </w:rPr>
      </w:pPr>
    </w:p>
    <w:sectPr w:rsidR="00E02703" w:rsidRPr="00B85E15" w:rsidSect="008854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8F" w:rsidRDefault="001F148F" w:rsidP="00F805F7">
      <w:pPr>
        <w:spacing w:after="0" w:line="240" w:lineRule="auto"/>
      </w:pPr>
      <w:r>
        <w:separator/>
      </w:r>
    </w:p>
  </w:endnote>
  <w:endnote w:type="continuationSeparator" w:id="0">
    <w:p w:rsidR="001F148F" w:rsidRDefault="001F148F" w:rsidP="00F8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FC" w:rsidRPr="00F312CD" w:rsidRDefault="009B05FC">
    <w:pPr>
      <w:pStyle w:val="Footer"/>
    </w:pPr>
    <w:r w:rsidRPr="002169D9">
      <w:rPr>
        <w:rFonts w:ascii="Calibri" w:hAnsi="Calibri"/>
        <w:b/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0D5125" wp14:editId="06EED728">
              <wp:simplePos x="0" y="0"/>
              <wp:positionH relativeFrom="margin">
                <wp:align>right</wp:align>
              </wp:positionH>
              <wp:positionV relativeFrom="paragraph">
                <wp:posOffset>-57454</wp:posOffset>
              </wp:positionV>
              <wp:extent cx="66230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C383C" id="Straight Connector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-4.5pt" to="991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" strokecolor="black [3213]">
              <v:stroke joinstyle="miter"/>
              <w10:wrap anchorx="margin"/>
            </v:line>
          </w:pict>
        </mc:Fallback>
      </mc:AlternateContent>
    </w:r>
    <w:r w:rsidRPr="002169D9">
      <w:rPr>
        <w:sz w:val="16"/>
        <w:szCs w:val="16"/>
      </w:rPr>
      <w:t>Copyright © United Utilities Water Limited 201</w:t>
    </w:r>
    <w:r>
      <w:rPr>
        <w:sz w:val="16"/>
        <w:szCs w:val="16"/>
      </w:rPr>
      <w:t>6</w:t>
    </w:r>
    <w:r>
      <w:tab/>
    </w:r>
    <w:r>
      <w:tab/>
    </w:r>
    <w:r>
      <w:tab/>
    </w:r>
    <w:r>
      <w:tab/>
    </w:r>
    <w:sdt>
      <w:sdtPr>
        <w:id w:val="-2011815093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>
          <w:t xml:space="preserve">    </w:t>
        </w:r>
        <w:r w:rsidRPr="002169D9">
          <w:rPr>
            <w:sz w:val="16"/>
            <w:szCs w:val="16"/>
          </w:rPr>
          <w:fldChar w:fldCharType="begin"/>
        </w:r>
        <w:r w:rsidRPr="002169D9">
          <w:rPr>
            <w:sz w:val="16"/>
            <w:szCs w:val="16"/>
          </w:rPr>
          <w:instrText xml:space="preserve"> PAGE   \* MERGEFORMAT </w:instrText>
        </w:r>
        <w:r w:rsidRPr="002169D9">
          <w:rPr>
            <w:sz w:val="16"/>
            <w:szCs w:val="16"/>
          </w:rPr>
          <w:fldChar w:fldCharType="separate"/>
        </w:r>
        <w:r w:rsidR="006D2DAF">
          <w:rPr>
            <w:noProof/>
            <w:sz w:val="16"/>
            <w:szCs w:val="16"/>
          </w:rPr>
          <w:t>4</w:t>
        </w:r>
        <w:r w:rsidRPr="002169D9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FC" w:rsidRDefault="009B05FC" w:rsidP="00B363C5">
    <w:pPr>
      <w:pStyle w:val="Footer"/>
    </w:pPr>
    <w:r w:rsidRPr="002169D9">
      <w:rPr>
        <w:rFonts w:ascii="Calibri" w:hAnsi="Calibri"/>
        <w:b/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68BDC" wp14:editId="0BD03903">
              <wp:simplePos x="0" y="0"/>
              <wp:positionH relativeFrom="margin">
                <wp:posOffset>0</wp:posOffset>
              </wp:positionH>
              <wp:positionV relativeFrom="paragraph">
                <wp:posOffset>-61899</wp:posOffset>
              </wp:positionV>
              <wp:extent cx="66230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33B85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4.85pt" to="521.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" strokecolor="black [3213]">
              <v:stroke joinstyle="miter"/>
              <w10:wrap anchorx="margin"/>
            </v:line>
          </w:pict>
        </mc:Fallback>
      </mc:AlternateContent>
    </w:r>
    <w:r>
      <w:rPr>
        <w:sz w:val="16"/>
        <w:szCs w:val="16"/>
      </w:rPr>
      <w:t xml:space="preserve">Version </w:t>
    </w:r>
    <w:proofErr w:type="gramStart"/>
    <w:r>
      <w:rPr>
        <w:sz w:val="16"/>
        <w:szCs w:val="16"/>
      </w:rPr>
      <w:t>2  -</w:t>
    </w:r>
    <w:proofErr w:type="gramEnd"/>
    <w:r>
      <w:rPr>
        <w:sz w:val="16"/>
        <w:szCs w:val="16"/>
      </w:rPr>
      <w:t xml:space="preserve"> 08/07/2016</w:t>
    </w:r>
    <w:r w:rsidRPr="002169D9">
      <w:tab/>
    </w:r>
    <w:r>
      <w:tab/>
    </w:r>
    <w:r>
      <w:tab/>
    </w:r>
    <w:r>
      <w:tab/>
      <w:t xml:space="preserve">    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8F" w:rsidRDefault="001F148F" w:rsidP="00F805F7">
      <w:pPr>
        <w:spacing w:after="0" w:line="240" w:lineRule="auto"/>
      </w:pPr>
      <w:r>
        <w:separator/>
      </w:r>
    </w:p>
  </w:footnote>
  <w:footnote w:type="continuationSeparator" w:id="0">
    <w:p w:rsidR="001F148F" w:rsidRDefault="001F148F" w:rsidP="00F8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FC" w:rsidRDefault="009B05FC">
    <w:pPr>
      <w:pStyle w:val="Header"/>
    </w:pPr>
    <w:r>
      <w:rPr>
        <w:rFonts w:ascii="Calibri" w:hAnsi="Calibri"/>
        <w:b/>
        <w:color w:val="77881C"/>
        <w:sz w:val="40"/>
      </w:rPr>
      <w:t xml:space="preserve">Priority Services - </w:t>
    </w:r>
    <w:r w:rsidRPr="00554BF9">
      <w:rPr>
        <w:rFonts w:ascii="Calibri" w:hAnsi="Calibri"/>
        <w:b/>
        <w:color w:val="77881C"/>
        <w:sz w:val="40"/>
      </w:rPr>
      <w:t xml:space="preserve">Alternative water scenarios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FC" w:rsidRPr="009F6C1F" w:rsidRDefault="009B05FC" w:rsidP="008A4EE9">
    <w:pPr>
      <w:pStyle w:val="Header"/>
      <w:tabs>
        <w:tab w:val="clear" w:pos="4513"/>
        <w:tab w:val="clear" w:pos="9026"/>
        <w:tab w:val="right" w:pos="10466"/>
      </w:tabs>
      <w:rPr>
        <w:rFonts w:ascii="Calibri" w:hAnsi="Calibri"/>
        <w:b/>
        <w:color w:val="00A1DF"/>
        <w:sz w:val="56"/>
        <w:szCs w:val="56"/>
      </w:rPr>
    </w:pPr>
    <w:r w:rsidRPr="008A4EE9">
      <w:rPr>
        <w:rFonts w:ascii="Calibri" w:hAnsi="Calibri"/>
        <w:b/>
        <w:noProof/>
        <w:color w:val="77881C"/>
        <w:sz w:val="56"/>
        <w:szCs w:val="56"/>
        <w:lang w:eastAsia="en-GB"/>
      </w:rPr>
      <w:drawing>
        <wp:anchor distT="0" distB="0" distL="114300" distR="114300" simplePos="0" relativeHeight="251655680" behindDoc="0" locked="0" layoutInCell="1" allowOverlap="1" wp14:anchorId="488A2A3D" wp14:editId="7783495D">
          <wp:simplePos x="0" y="0"/>
          <wp:positionH relativeFrom="margin">
            <wp:posOffset>5615940</wp:posOffset>
          </wp:positionH>
          <wp:positionV relativeFrom="paragraph">
            <wp:posOffset>91279</wp:posOffset>
          </wp:positionV>
          <wp:extent cx="1029970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_logo_R119_G136_B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77881C"/>
        <w:sz w:val="56"/>
        <w:szCs w:val="56"/>
        <w:lang w:eastAsia="en-GB"/>
      </w:rPr>
      <w:t>Priority Services</w:t>
    </w:r>
    <w:r>
      <w:rPr>
        <w:rFonts w:ascii="Calibri" w:hAnsi="Calibri"/>
        <w:b/>
        <w:noProof/>
        <w:color w:val="00A1DF"/>
        <w:sz w:val="56"/>
        <w:szCs w:val="56"/>
        <w:lang w:eastAsia="en-GB"/>
      </w:rPr>
      <w:tab/>
    </w:r>
  </w:p>
  <w:p w:rsidR="009B05FC" w:rsidRPr="00C47015" w:rsidRDefault="009B05FC" w:rsidP="00885485">
    <w:pPr>
      <w:pStyle w:val="Header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>Alternative water s</w:t>
    </w:r>
    <w:r w:rsidRPr="006A7AA0">
      <w:rPr>
        <w:rFonts w:ascii="Calibri" w:hAnsi="Calibri"/>
        <w:b/>
        <w:sz w:val="40"/>
      </w:rPr>
      <w:t>cenarios</w:t>
    </w:r>
    <w:r w:rsidRPr="00C47015">
      <w:rPr>
        <w:rFonts w:ascii="Calibri" w:hAnsi="Calibri"/>
        <w:b/>
        <w:sz w:val="40"/>
      </w:rPr>
      <w:t xml:space="preserve"> </w:t>
    </w:r>
  </w:p>
  <w:p w:rsidR="009B05FC" w:rsidRDefault="009B05FC" w:rsidP="00827AC0">
    <w:pPr>
      <w:pStyle w:val="Header"/>
      <w:tabs>
        <w:tab w:val="clear" w:pos="4513"/>
        <w:tab w:val="clear" w:pos="9026"/>
        <w:tab w:val="left" w:pos="2266"/>
      </w:tabs>
    </w:pPr>
    <w:r>
      <w:rPr>
        <w:rFonts w:ascii="Calibri" w:hAnsi="Calibri"/>
        <w:b/>
        <w:noProof/>
        <w:color w:val="77881C"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CD27D4" wp14:editId="0B7DC6DC">
              <wp:simplePos x="0" y="0"/>
              <wp:positionH relativeFrom="margin">
                <wp:posOffset>-2540</wp:posOffset>
              </wp:positionH>
              <wp:positionV relativeFrom="paragraph">
                <wp:posOffset>228296</wp:posOffset>
              </wp:positionV>
              <wp:extent cx="6623436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3436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61E3A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8pt" to="521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" strokecolor="black [3213]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4CF"/>
    <w:multiLevelType w:val="hybridMultilevel"/>
    <w:tmpl w:val="C3EE01BE"/>
    <w:lvl w:ilvl="0" w:tplc="2DA45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015"/>
    <w:multiLevelType w:val="hybridMultilevel"/>
    <w:tmpl w:val="2E84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81D"/>
    <w:multiLevelType w:val="hybridMultilevel"/>
    <w:tmpl w:val="743821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A5488"/>
    <w:multiLevelType w:val="hybridMultilevel"/>
    <w:tmpl w:val="9B6ACB0E"/>
    <w:lvl w:ilvl="0" w:tplc="E8BAEB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8FC"/>
    <w:multiLevelType w:val="hybridMultilevel"/>
    <w:tmpl w:val="3BAE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5D73"/>
    <w:multiLevelType w:val="hybridMultilevel"/>
    <w:tmpl w:val="B1CC85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C85F10"/>
    <w:multiLevelType w:val="hybridMultilevel"/>
    <w:tmpl w:val="02E695A6"/>
    <w:lvl w:ilvl="0" w:tplc="8340A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46665"/>
    <w:multiLevelType w:val="hybridMultilevel"/>
    <w:tmpl w:val="DCD6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674AE"/>
    <w:multiLevelType w:val="hybridMultilevel"/>
    <w:tmpl w:val="FBAEC6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BF5BC7"/>
    <w:multiLevelType w:val="hybridMultilevel"/>
    <w:tmpl w:val="6100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70D3"/>
    <w:multiLevelType w:val="hybridMultilevel"/>
    <w:tmpl w:val="633C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7"/>
    <w:rsid w:val="000422F4"/>
    <w:rsid w:val="000B388A"/>
    <w:rsid w:val="001109C6"/>
    <w:rsid w:val="001800FB"/>
    <w:rsid w:val="001F148F"/>
    <w:rsid w:val="002169D9"/>
    <w:rsid w:val="002D59E0"/>
    <w:rsid w:val="002E7B91"/>
    <w:rsid w:val="002F6ECE"/>
    <w:rsid w:val="0037551C"/>
    <w:rsid w:val="004078F8"/>
    <w:rsid w:val="00464748"/>
    <w:rsid w:val="00554BF9"/>
    <w:rsid w:val="005D542A"/>
    <w:rsid w:val="00674839"/>
    <w:rsid w:val="006A7AA0"/>
    <w:rsid w:val="006D0CCF"/>
    <w:rsid w:val="006D2DAF"/>
    <w:rsid w:val="00742723"/>
    <w:rsid w:val="007E5964"/>
    <w:rsid w:val="00827AC0"/>
    <w:rsid w:val="00885485"/>
    <w:rsid w:val="008A4EE9"/>
    <w:rsid w:val="008C1A52"/>
    <w:rsid w:val="00960C5F"/>
    <w:rsid w:val="00993C88"/>
    <w:rsid w:val="009B05FC"/>
    <w:rsid w:val="009E06D6"/>
    <w:rsid w:val="009F6C1F"/>
    <w:rsid w:val="00B06D09"/>
    <w:rsid w:val="00B363C5"/>
    <w:rsid w:val="00B85E15"/>
    <w:rsid w:val="00BB5950"/>
    <w:rsid w:val="00C47015"/>
    <w:rsid w:val="00C83EE5"/>
    <w:rsid w:val="00CB30EE"/>
    <w:rsid w:val="00CD2A6A"/>
    <w:rsid w:val="00D24D5E"/>
    <w:rsid w:val="00E02703"/>
    <w:rsid w:val="00E32930"/>
    <w:rsid w:val="00F312CD"/>
    <w:rsid w:val="00F6376A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C2BF4C-F7C7-4E4E-A700-1EC55A3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F7"/>
  </w:style>
  <w:style w:type="paragraph" w:styleId="Footer">
    <w:name w:val="footer"/>
    <w:basedOn w:val="Normal"/>
    <w:link w:val="Foot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F7"/>
  </w:style>
  <w:style w:type="paragraph" w:styleId="BalloonText">
    <w:name w:val="Balloon Text"/>
    <w:basedOn w:val="Normal"/>
    <w:link w:val="BalloonTextChar"/>
    <w:uiPriority w:val="99"/>
    <w:semiHidden/>
    <w:unhideWhenUsed/>
    <w:rsid w:val="00C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C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Utilities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Sherwood, Miranda</dc:creator>
  <cp:keywords/>
  <dc:description/>
  <cp:lastModifiedBy>Stelfox, Paul</cp:lastModifiedBy>
  <cp:revision>3</cp:revision>
  <cp:lastPrinted>2015-09-16T14:43:00Z</cp:lastPrinted>
  <dcterms:created xsi:type="dcterms:W3CDTF">2016-09-28T16:39:00Z</dcterms:created>
  <dcterms:modified xsi:type="dcterms:W3CDTF">2016-11-10T17:57:00Z</dcterms:modified>
</cp:coreProperties>
</file>